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DD47" w14:textId="77777777" w:rsidR="000C6AD6" w:rsidRPr="00FB7AE9" w:rsidRDefault="000C6AD6" w:rsidP="005371DE">
      <w:pPr>
        <w:rPr>
          <w:sz w:val="18"/>
          <w:szCs w:val="18"/>
        </w:rPr>
      </w:pPr>
    </w:p>
    <w:p w14:paraId="6BD99374" w14:textId="77777777" w:rsidR="000C6AD6" w:rsidRPr="008E494F" w:rsidRDefault="000C6AD6" w:rsidP="008E494F">
      <w:pPr>
        <w:jc w:val="center"/>
        <w:rPr>
          <w:rFonts w:cs="Times New Roman"/>
          <w:sz w:val="18"/>
          <w:szCs w:val="18"/>
        </w:rPr>
      </w:pPr>
    </w:p>
    <w:p w14:paraId="7284184D" w14:textId="77777777" w:rsidR="000C6AD6" w:rsidRPr="008E494F" w:rsidRDefault="000C6AD6" w:rsidP="008E494F">
      <w:pPr>
        <w:jc w:val="center"/>
        <w:rPr>
          <w:rFonts w:cs="Times New Roman"/>
          <w:sz w:val="18"/>
          <w:szCs w:val="18"/>
        </w:rPr>
      </w:pPr>
    </w:p>
    <w:p w14:paraId="09752567" w14:textId="3AC39494" w:rsidR="00066A76" w:rsidRPr="008E494F" w:rsidRDefault="005371DE" w:rsidP="008E494F">
      <w:pPr>
        <w:jc w:val="center"/>
        <w:rPr>
          <w:rFonts w:cs="Times New Roman"/>
          <w:b/>
          <w:bCs/>
          <w:color w:val="CC3399"/>
          <w:sz w:val="18"/>
          <w:szCs w:val="18"/>
          <w:u w:val="single"/>
        </w:rPr>
      </w:pPr>
      <w:r w:rsidRPr="008E494F">
        <w:rPr>
          <w:rFonts w:cs="Times New Roman"/>
          <w:b/>
          <w:bCs/>
          <w:color w:val="CC3399"/>
          <w:sz w:val="21"/>
          <w:szCs w:val="21"/>
          <w:u w:val="single"/>
          <w:shd w:val="clear" w:color="auto" w:fill="FFFFFF"/>
        </w:rPr>
        <w:t>APPLICATION OF DOROTHEA OREM'S SELF-CARE DEFICIT THEORY IN MANAGING PATIENT'S USING INSULIN INJECTION</w:t>
      </w:r>
      <w:r w:rsidRPr="008E494F">
        <w:rPr>
          <w:rFonts w:cs="Times New Roman"/>
          <w:b/>
          <w:bCs/>
          <w:color w:val="CC3399"/>
          <w:sz w:val="18"/>
          <w:szCs w:val="18"/>
          <w:u w:val="single"/>
        </w:rPr>
        <w:t>.</w:t>
      </w:r>
    </w:p>
    <w:p w14:paraId="6054D117" w14:textId="77777777" w:rsidR="002D1944" w:rsidRPr="008E494F" w:rsidRDefault="004A3BF0" w:rsidP="008E494F">
      <w:pPr>
        <w:jc w:val="center"/>
        <w:rPr>
          <w:rFonts w:cs="Times New Roman"/>
          <w:color w:val="4472C4" w:themeColor="accent1"/>
          <w:sz w:val="18"/>
          <w:szCs w:val="18"/>
          <w:u w:val="single"/>
        </w:rPr>
      </w:pPr>
      <w:r w:rsidRPr="008E494F">
        <w:rPr>
          <w:rFonts w:cs="Times New Roman"/>
          <w:noProof/>
          <w:sz w:val="18"/>
          <w:szCs w:val="18"/>
        </w:rPr>
        <w:drawing>
          <wp:inline distT="0" distB="0" distL="0" distR="0" wp14:anchorId="772E4E4C" wp14:editId="343355E2">
            <wp:extent cx="1172210" cy="15480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15" cy="15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FB995" w14:textId="10E946FB" w:rsidR="00431756" w:rsidRPr="008E494F" w:rsidRDefault="005371DE" w:rsidP="008E494F">
      <w:p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color w:val="4472C4" w:themeColor="accent1"/>
          <w:sz w:val="18"/>
          <w:szCs w:val="18"/>
          <w:u w:val="single"/>
        </w:rPr>
        <w:t>Orem’s Theory</w:t>
      </w:r>
      <w:r w:rsidR="00607FF1" w:rsidRPr="008E494F">
        <w:rPr>
          <w:rFonts w:cs="Times New Roman"/>
          <w:color w:val="4472C4" w:themeColor="accent1"/>
          <w:sz w:val="18"/>
          <w:szCs w:val="18"/>
          <w:u w:val="single"/>
        </w:rPr>
        <w:t>.</w:t>
      </w:r>
    </w:p>
    <w:p w14:paraId="7C5D5FA3" w14:textId="704F5513" w:rsidR="00B40D10" w:rsidRPr="008E494F" w:rsidRDefault="00B40D10" w:rsidP="008E494F">
      <w:p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Dorothy Orem defines self-care as actions that people can launch willingly to make sure that the quality of life is advanced by ensuring effective psychological, mental, physical, and social health</w:t>
      </w:r>
    </w:p>
    <w:p w14:paraId="1FE7EACE" w14:textId="3DB32912" w:rsidR="00B40D10" w:rsidRPr="008E494F" w:rsidRDefault="00B40D10" w:rsidP="008E494F">
      <w:p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noProof/>
          <w:sz w:val="18"/>
          <w:szCs w:val="18"/>
        </w:rPr>
        <w:drawing>
          <wp:inline distT="0" distB="0" distL="0" distR="0" wp14:anchorId="76842E9C" wp14:editId="42C32126">
            <wp:extent cx="1172210" cy="77978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A759" w14:textId="5B5E480A" w:rsidR="00B40D10" w:rsidRPr="008E494F" w:rsidRDefault="00B40D10" w:rsidP="008E494F">
      <w:pPr>
        <w:jc w:val="center"/>
        <w:rPr>
          <w:rFonts w:cs="Times New Roman"/>
          <w:color w:val="7030A0"/>
          <w:sz w:val="18"/>
          <w:szCs w:val="18"/>
          <w:u w:val="single"/>
        </w:rPr>
      </w:pPr>
      <w:r w:rsidRPr="008E494F">
        <w:rPr>
          <w:rFonts w:cs="Times New Roman"/>
          <w:color w:val="7030A0"/>
          <w:sz w:val="18"/>
          <w:szCs w:val="18"/>
          <w:u w:val="single"/>
        </w:rPr>
        <w:t>Importance of Orem’s theory.</w:t>
      </w:r>
    </w:p>
    <w:p w14:paraId="4AFE940E" w14:textId="4F829AA8" w:rsidR="00B40D10" w:rsidRPr="008E494F" w:rsidRDefault="00B40D10" w:rsidP="008E494F">
      <w:p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it helps patients </w:t>
      </w:r>
      <w:r w:rsidRPr="008E494F">
        <w:rPr>
          <w:rFonts w:cs="Times New Roman"/>
          <w:sz w:val="18"/>
          <w:szCs w:val="18"/>
          <w:u w:val="single"/>
        </w:rPr>
        <w:t>learn</w:t>
      </w:r>
      <w:r w:rsidRPr="008E494F">
        <w:rPr>
          <w:rFonts w:cs="Times New Roman"/>
          <w:sz w:val="18"/>
          <w:szCs w:val="18"/>
        </w:rPr>
        <w:t xml:space="preserve"> that they can recover faster and efficiently if they take control of their health.</w:t>
      </w:r>
    </w:p>
    <w:p w14:paraId="6073F87E" w14:textId="5C10F554" w:rsidR="00607FF1" w:rsidRPr="008E494F" w:rsidRDefault="00607FF1" w:rsidP="008E494F">
      <w:p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noProof/>
          <w:sz w:val="18"/>
          <w:szCs w:val="18"/>
        </w:rPr>
        <w:drawing>
          <wp:inline distT="0" distB="0" distL="0" distR="0" wp14:anchorId="11A08583" wp14:editId="69CEC540">
            <wp:extent cx="1172210" cy="772795"/>
            <wp:effectExtent l="0" t="0" r="8890" b="8255"/>
            <wp:docPr id="2" name="Picture 2" descr="The Pivotal Role of Orem's Self-Care Deficit Theory | Regis Colleg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Pivotal Role of Orem's Self-Care Deficit Theory | Regis College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7D981" w14:textId="13022A55" w:rsidR="00F304DA" w:rsidRPr="008E494F" w:rsidRDefault="00F304DA" w:rsidP="008E494F">
      <w:pPr>
        <w:jc w:val="center"/>
        <w:rPr>
          <w:rFonts w:cs="Times New Roman"/>
          <w:color w:val="FF3399"/>
          <w:sz w:val="18"/>
          <w:szCs w:val="18"/>
          <w:u w:val="single"/>
        </w:rPr>
      </w:pPr>
      <w:r w:rsidRPr="008E494F">
        <w:rPr>
          <w:rFonts w:cs="Times New Roman"/>
          <w:color w:val="FF3399"/>
          <w:sz w:val="18"/>
          <w:szCs w:val="18"/>
          <w:u w:val="single"/>
        </w:rPr>
        <w:t xml:space="preserve">Importance of </w:t>
      </w:r>
      <w:r w:rsidR="005371DE" w:rsidRPr="008E494F">
        <w:rPr>
          <w:rFonts w:cs="Times New Roman"/>
          <w:color w:val="FF3399"/>
          <w:sz w:val="18"/>
          <w:szCs w:val="18"/>
          <w:u w:val="single"/>
        </w:rPr>
        <w:t xml:space="preserve">insulin </w:t>
      </w:r>
      <w:proofErr w:type="spellStart"/>
      <w:r w:rsidR="005371DE" w:rsidRPr="008E494F">
        <w:rPr>
          <w:rFonts w:cs="Times New Roman"/>
          <w:color w:val="FF3399"/>
          <w:sz w:val="18"/>
          <w:szCs w:val="18"/>
          <w:u w:val="single"/>
        </w:rPr>
        <w:t>self care</w:t>
      </w:r>
      <w:proofErr w:type="spellEnd"/>
    </w:p>
    <w:p w14:paraId="608EB2AB" w14:textId="67E2089C" w:rsidR="00607FF1" w:rsidRPr="008E494F" w:rsidRDefault="00607FF1" w:rsidP="008E494F">
      <w:pPr>
        <w:pStyle w:val="ListParagraph"/>
        <w:numPr>
          <w:ilvl w:val="0"/>
          <w:numId w:val="1"/>
        </w:num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Avoids frequent visits to the ER.</w:t>
      </w:r>
    </w:p>
    <w:p w14:paraId="6571243B" w14:textId="6A51A07D" w:rsidR="00607FF1" w:rsidRPr="008E494F" w:rsidRDefault="00607FF1" w:rsidP="008E494F">
      <w:pPr>
        <w:pStyle w:val="ListParagraph"/>
        <w:numPr>
          <w:ilvl w:val="0"/>
          <w:numId w:val="1"/>
        </w:num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To learn effective way of insulin administration</w:t>
      </w:r>
    </w:p>
    <w:p w14:paraId="5886C356" w14:textId="551EB640" w:rsidR="00607FF1" w:rsidRPr="008E494F" w:rsidRDefault="00607FF1" w:rsidP="008E494F">
      <w:pPr>
        <w:pStyle w:val="ListParagraph"/>
        <w:numPr>
          <w:ilvl w:val="0"/>
          <w:numId w:val="1"/>
        </w:num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To improve quality of life.</w:t>
      </w:r>
    </w:p>
    <w:p w14:paraId="16429802" w14:textId="21F0BF60" w:rsidR="005371DE" w:rsidRPr="008E494F" w:rsidRDefault="005371DE" w:rsidP="008E494F">
      <w:pPr>
        <w:pStyle w:val="ListParagraph"/>
        <w:jc w:val="center"/>
        <w:rPr>
          <w:rFonts w:cs="Times New Roman"/>
          <w:color w:val="CC3399"/>
          <w:sz w:val="18"/>
          <w:szCs w:val="18"/>
          <w:u w:val="single"/>
        </w:rPr>
      </w:pPr>
      <w:r w:rsidRPr="008E494F">
        <w:rPr>
          <w:rFonts w:cs="Times New Roman"/>
          <w:color w:val="CC3399"/>
          <w:sz w:val="18"/>
          <w:szCs w:val="18"/>
          <w:u w:val="single"/>
        </w:rPr>
        <w:t>Dependent care.</w:t>
      </w:r>
    </w:p>
    <w:p w14:paraId="2BEA9860" w14:textId="0A6DB734" w:rsidR="005371DE" w:rsidRPr="008E494F" w:rsidRDefault="005371DE" w:rsidP="008E494F">
      <w:pPr>
        <w:pStyle w:val="ListParagraph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For patients that are dependent on other people to take care of them, the care takers will undergo the lessons on how to administer the insulin </w:t>
      </w:r>
      <w:r w:rsidR="00FD03C6" w:rsidRPr="008E494F">
        <w:rPr>
          <w:rFonts w:cs="Times New Roman"/>
          <w:sz w:val="18"/>
          <w:szCs w:val="18"/>
        </w:rPr>
        <w:t>injections</w:t>
      </w:r>
      <w:r w:rsidRPr="008E494F">
        <w:rPr>
          <w:rFonts w:cs="Times New Roman"/>
          <w:sz w:val="18"/>
          <w:szCs w:val="18"/>
        </w:rPr>
        <w:t>.</w:t>
      </w:r>
    </w:p>
    <w:p w14:paraId="56E17E23" w14:textId="2E1A0116" w:rsidR="00FD03C6" w:rsidRPr="008E494F" w:rsidRDefault="00FD03C6" w:rsidP="008E494F">
      <w:pPr>
        <w:pStyle w:val="ListParagraph"/>
        <w:jc w:val="center"/>
        <w:rPr>
          <w:rFonts w:cs="Times New Roman"/>
          <w:color w:val="00B0F0"/>
          <w:sz w:val="18"/>
          <w:szCs w:val="18"/>
          <w:u w:val="single"/>
        </w:rPr>
      </w:pPr>
      <w:r w:rsidRPr="008E494F">
        <w:rPr>
          <w:rFonts w:cs="Times New Roman"/>
          <w:color w:val="00B0F0"/>
          <w:sz w:val="18"/>
          <w:szCs w:val="18"/>
          <w:u w:val="single"/>
        </w:rPr>
        <w:t>Nursing research.</w:t>
      </w:r>
    </w:p>
    <w:p w14:paraId="562B9A0B" w14:textId="0ADCF266" w:rsidR="002D1944" w:rsidRPr="008E494F" w:rsidRDefault="00EC3CEA" w:rsidP="008E494F">
      <w:pPr>
        <w:pStyle w:val="ListParagraph"/>
        <w:jc w:val="center"/>
        <w:rPr>
          <w:rFonts w:cs="Times New Roman"/>
          <w:sz w:val="18"/>
          <w:szCs w:val="16"/>
        </w:rPr>
      </w:pPr>
      <w:r w:rsidRPr="008E494F">
        <w:rPr>
          <w:rFonts w:cs="Times New Roman"/>
          <w:sz w:val="18"/>
          <w:szCs w:val="18"/>
        </w:rPr>
        <w:t>Resea</w:t>
      </w:r>
      <w:r w:rsidR="002D1944" w:rsidRPr="008E494F">
        <w:rPr>
          <w:rFonts w:cs="Times New Roman"/>
          <w:sz w:val="18"/>
          <w:szCs w:val="18"/>
        </w:rPr>
        <w:t>r</w:t>
      </w:r>
      <w:r w:rsidRPr="008E494F">
        <w:rPr>
          <w:rFonts w:cs="Times New Roman"/>
          <w:sz w:val="18"/>
          <w:szCs w:val="18"/>
        </w:rPr>
        <w:t>ch by (Poude</w:t>
      </w:r>
      <w:r w:rsidR="002D1944" w:rsidRPr="008E494F">
        <w:rPr>
          <w:rFonts w:cs="Times New Roman"/>
          <w:sz w:val="18"/>
          <w:szCs w:val="18"/>
        </w:rPr>
        <w:t xml:space="preserve">l et al, 2018) argues that </w:t>
      </w:r>
      <w:r w:rsidR="002D1944" w:rsidRPr="008E494F">
        <w:rPr>
          <w:rFonts w:cs="Times New Roman"/>
          <w:sz w:val="18"/>
          <w:szCs w:val="16"/>
        </w:rPr>
        <w:t>Proper insulin injection practice is essential for better diabetic control</w:t>
      </w:r>
    </w:p>
    <w:p w14:paraId="594BFC8F" w14:textId="5324DB0E" w:rsidR="002D1944" w:rsidRPr="008E494F" w:rsidRDefault="002D1944" w:rsidP="008E494F">
      <w:pPr>
        <w:pStyle w:val="ListParagraph"/>
        <w:jc w:val="center"/>
        <w:rPr>
          <w:rFonts w:cs="Times New Roman"/>
          <w:sz w:val="18"/>
          <w:szCs w:val="16"/>
        </w:rPr>
      </w:pPr>
    </w:p>
    <w:p w14:paraId="47F49183" w14:textId="0C1D2382" w:rsidR="002D1944" w:rsidRPr="008E494F" w:rsidRDefault="002D1944" w:rsidP="008E494F">
      <w:pPr>
        <w:pStyle w:val="ListParagraph"/>
        <w:jc w:val="center"/>
        <w:rPr>
          <w:rFonts w:cs="Times New Roman"/>
          <w:b/>
          <w:bCs/>
          <w:color w:val="C45911" w:themeColor="accent2" w:themeShade="BF"/>
          <w:sz w:val="22"/>
          <w:szCs w:val="20"/>
        </w:rPr>
      </w:pPr>
      <w:r w:rsidRPr="008E494F">
        <w:rPr>
          <w:rFonts w:cs="Times New Roman"/>
          <w:b/>
          <w:bCs/>
          <w:color w:val="C45911" w:themeColor="accent2" w:themeShade="BF"/>
          <w:sz w:val="22"/>
          <w:szCs w:val="20"/>
        </w:rPr>
        <w:t>QSEN Competencies.</w:t>
      </w:r>
    </w:p>
    <w:p w14:paraId="54E7E3C1" w14:textId="0A72C68A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color w:val="FFC000"/>
          <w:sz w:val="18"/>
          <w:szCs w:val="18"/>
        </w:rPr>
      </w:pPr>
      <w:r w:rsidRPr="008E494F">
        <w:rPr>
          <w:rFonts w:cs="Times New Roman"/>
          <w:color w:val="FFC000"/>
          <w:sz w:val="18"/>
          <w:szCs w:val="18"/>
        </w:rPr>
        <w:t>Patient-centered care.</w:t>
      </w:r>
    </w:p>
    <w:p w14:paraId="3A86C9B9" w14:textId="30E64B41" w:rsidR="002D1944" w:rsidRPr="008E494F" w:rsidRDefault="002D1944" w:rsidP="008E494F">
      <w:pPr>
        <w:pStyle w:val="ListParagraph"/>
        <w:ind w:left="144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The program will provide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compassionate and coordinated care based on respect for the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patient’s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 preferences, values, and needs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.</w:t>
      </w:r>
    </w:p>
    <w:p w14:paraId="59D43F41" w14:textId="29690EC8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color w:val="FFC000"/>
          <w:sz w:val="18"/>
          <w:szCs w:val="18"/>
        </w:rPr>
      </w:pPr>
      <w:r w:rsidRPr="008E494F">
        <w:rPr>
          <w:rFonts w:cs="Times New Roman"/>
          <w:color w:val="FFC000"/>
          <w:sz w:val="18"/>
          <w:szCs w:val="18"/>
        </w:rPr>
        <w:t>Teamwork.</w:t>
      </w:r>
    </w:p>
    <w:p w14:paraId="3E68EA72" w14:textId="2F10A524" w:rsidR="002D1944" w:rsidRPr="008E494F" w:rsidRDefault="002D1944" w:rsidP="008E494F">
      <w:pPr>
        <w:pStyle w:val="ListParagraph"/>
        <w:ind w:left="144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The program will foster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open communication, mutual respect, and share decision making to achieve quality p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atient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 car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e.</w:t>
      </w:r>
    </w:p>
    <w:p w14:paraId="107340A2" w14:textId="05A5CEDC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color w:val="FFC000"/>
          <w:sz w:val="18"/>
          <w:szCs w:val="18"/>
        </w:rPr>
      </w:pPr>
      <w:r w:rsidRPr="008E494F">
        <w:rPr>
          <w:rFonts w:cs="Times New Roman"/>
          <w:color w:val="FFC000"/>
          <w:sz w:val="18"/>
          <w:szCs w:val="18"/>
        </w:rPr>
        <w:t>Evidence based programs.</w:t>
      </w:r>
    </w:p>
    <w:p w14:paraId="44FD8BBD" w14:textId="36A86F80" w:rsidR="002D1944" w:rsidRPr="008E494F" w:rsidRDefault="002D1944" w:rsidP="008E494F">
      <w:pPr>
        <w:pStyle w:val="ListParagraph"/>
        <w:ind w:left="144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The program will consider the preferences of the patient</w:t>
      </w:r>
      <w:r w:rsidR="0030273F" w:rsidRPr="008E494F">
        <w:rPr>
          <w:rFonts w:cs="Times New Roman"/>
          <w:sz w:val="18"/>
          <w:szCs w:val="18"/>
        </w:rPr>
        <w:t xml:space="preserve"> by looking at evidence of previous care.</w:t>
      </w:r>
    </w:p>
    <w:p w14:paraId="6F6A9A6C" w14:textId="6E5A1ADF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Quality management.</w:t>
      </w:r>
    </w:p>
    <w:p w14:paraId="11C5DB32" w14:textId="76CA586A" w:rsidR="00CE416B" w:rsidRPr="008E494F" w:rsidRDefault="00CE416B" w:rsidP="008E494F">
      <w:pPr>
        <w:pStyle w:val="ListParagraph"/>
        <w:ind w:left="144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The program will ensure that patients are their caretakers are familiar with </w:t>
      </w:r>
      <w:r w:rsidR="00D5138B" w:rsidRPr="008E494F">
        <w:rPr>
          <w:rFonts w:cs="Times New Roman"/>
          <w:sz w:val="18"/>
          <w:szCs w:val="18"/>
        </w:rPr>
        <w:t>strategies</w:t>
      </w:r>
      <w:r w:rsidRPr="008E494F">
        <w:rPr>
          <w:rFonts w:cs="Times New Roman"/>
          <w:sz w:val="18"/>
          <w:szCs w:val="18"/>
        </w:rPr>
        <w:t xml:space="preserve"> of administering quality injections.</w:t>
      </w:r>
    </w:p>
    <w:p w14:paraId="1A84FCDC" w14:textId="59F6DE72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color w:val="FFC000"/>
          <w:sz w:val="18"/>
          <w:szCs w:val="18"/>
        </w:rPr>
      </w:pPr>
      <w:r w:rsidRPr="008E494F">
        <w:rPr>
          <w:rFonts w:cs="Times New Roman"/>
          <w:color w:val="FFC000"/>
          <w:sz w:val="18"/>
          <w:szCs w:val="18"/>
        </w:rPr>
        <w:t>Safety</w:t>
      </w:r>
    </w:p>
    <w:p w14:paraId="6EC09CBE" w14:textId="69D6AE79" w:rsidR="002D1944" w:rsidRPr="008E494F" w:rsidRDefault="002D1944" w:rsidP="008E494F">
      <w:pPr>
        <w:pStyle w:val="ListParagraph"/>
        <w:ind w:left="144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 xml:space="preserve">The program will keep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the p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atient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 and staff free from harm and minimize errors in care,</w:t>
      </w:r>
    </w:p>
    <w:p w14:paraId="7E9039FC" w14:textId="12DCDE0B" w:rsidR="002D1944" w:rsidRPr="008E494F" w:rsidRDefault="002D1944" w:rsidP="008E494F">
      <w:pPr>
        <w:pStyle w:val="ListParagraph"/>
        <w:numPr>
          <w:ilvl w:val="0"/>
          <w:numId w:val="2"/>
        </w:numPr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Informatics</w:t>
      </w:r>
    </w:p>
    <w:p w14:paraId="00784B63" w14:textId="70E3F730" w:rsidR="005371DE" w:rsidRPr="008E494F" w:rsidRDefault="00D5138B" w:rsidP="008E494F">
      <w:pPr>
        <w:pStyle w:val="ListParagraph"/>
        <w:ind w:left="1440"/>
        <w:jc w:val="center"/>
        <w:rPr>
          <w:rFonts w:cs="Times New Roman"/>
          <w:sz w:val="6"/>
          <w:szCs w:val="6"/>
        </w:rPr>
      </w:pP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The use of HER will ensure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access and use of information and electronic tech to communicate,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 xml:space="preserve"> </w:t>
      </w:r>
      <w:r w:rsidRPr="008E494F">
        <w:rPr>
          <w:rFonts w:cs="Times New Roman"/>
          <w:color w:val="303545"/>
          <w:sz w:val="18"/>
          <w:szCs w:val="18"/>
          <w:shd w:val="clear" w:color="auto" w:fill="FFFFFF"/>
        </w:rPr>
        <w:t>manage knowledge, prevent error and support decision making</w:t>
      </w:r>
    </w:p>
    <w:p w14:paraId="5D50FAA6" w14:textId="1D31A316" w:rsidR="000C6AD6" w:rsidRPr="008E494F" w:rsidRDefault="000C6AD6" w:rsidP="008E494F">
      <w:pPr>
        <w:ind w:left="360"/>
        <w:jc w:val="center"/>
        <w:rPr>
          <w:rFonts w:cs="Times New Roman"/>
          <w:color w:val="70AD47" w:themeColor="accent6"/>
          <w:sz w:val="18"/>
          <w:szCs w:val="18"/>
          <w:u w:val="single"/>
        </w:rPr>
      </w:pPr>
      <w:r w:rsidRPr="008E494F">
        <w:rPr>
          <w:rFonts w:cs="Times New Roman"/>
          <w:color w:val="70AD47" w:themeColor="accent6"/>
          <w:sz w:val="18"/>
          <w:szCs w:val="18"/>
          <w:u w:val="single"/>
        </w:rPr>
        <w:t>Conclusion.</w:t>
      </w:r>
    </w:p>
    <w:p w14:paraId="144A3F76" w14:textId="3EAFE137" w:rsidR="000C6AD6" w:rsidRPr="008E494F" w:rsidRDefault="000C6AD6" w:rsidP="008E494F">
      <w:pPr>
        <w:ind w:left="36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sz w:val="18"/>
          <w:szCs w:val="18"/>
        </w:rPr>
        <w:t>This self-care education will not only help the patients facing diabetes but also those living with them.</w:t>
      </w:r>
    </w:p>
    <w:p w14:paraId="0DDECCCE" w14:textId="4F78F4A1" w:rsidR="004A3BF0" w:rsidRPr="008E494F" w:rsidRDefault="004A3BF0" w:rsidP="008E494F">
      <w:pPr>
        <w:ind w:left="360"/>
        <w:jc w:val="center"/>
        <w:rPr>
          <w:rFonts w:cs="Times New Roman"/>
          <w:sz w:val="18"/>
          <w:szCs w:val="18"/>
        </w:rPr>
      </w:pPr>
      <w:r w:rsidRPr="008E494F">
        <w:rPr>
          <w:rFonts w:cs="Times New Roman"/>
          <w:noProof/>
          <w:sz w:val="18"/>
          <w:szCs w:val="18"/>
        </w:rPr>
        <w:drawing>
          <wp:inline distT="0" distB="0" distL="0" distR="0" wp14:anchorId="7AA00FB2" wp14:editId="684DBB64">
            <wp:extent cx="1172210" cy="1304290"/>
            <wp:effectExtent l="0" t="0" r="8890" b="0"/>
            <wp:docPr id="4" name="Picture 4" descr="Giving Insulin To Your Child With Type 1 Diabetes | 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ving Insulin To Your Child With Type 1 Diabetes | Par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A990" w14:textId="6F307218" w:rsidR="002C7863" w:rsidRPr="008E494F" w:rsidRDefault="008E494F" w:rsidP="008E494F">
      <w:pPr>
        <w:ind w:left="360"/>
        <w:jc w:val="center"/>
        <w:rPr>
          <w:rFonts w:cs="Times New Roman"/>
          <w:b/>
          <w:bCs/>
          <w:sz w:val="18"/>
          <w:szCs w:val="18"/>
          <w:u w:val="single"/>
        </w:rPr>
      </w:pPr>
      <w:r w:rsidRPr="008E494F">
        <w:rPr>
          <w:rFonts w:cs="Times New Roman"/>
          <w:b/>
          <w:bCs/>
          <w:sz w:val="18"/>
          <w:szCs w:val="18"/>
          <w:u w:val="single"/>
        </w:rPr>
        <w:t>Reference.</w:t>
      </w:r>
    </w:p>
    <w:p w14:paraId="3095E46D" w14:textId="1058353F" w:rsidR="008E494F" w:rsidRPr="008E494F" w:rsidRDefault="008E494F" w:rsidP="008E494F">
      <w:pPr>
        <w:ind w:left="360"/>
        <w:jc w:val="center"/>
        <w:rPr>
          <w:rFonts w:cs="Times New Roman"/>
          <w:b/>
          <w:bCs/>
          <w:sz w:val="14"/>
          <w:szCs w:val="14"/>
          <w:u w:val="single"/>
        </w:rPr>
      </w:pPr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 xml:space="preserve">Poudel, R. S., Shrestha, S., </w:t>
      </w:r>
      <w:proofErr w:type="spellStart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Piryani</w:t>
      </w:r>
      <w:proofErr w:type="spellEnd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 xml:space="preserve">, R. M., </w:t>
      </w:r>
      <w:proofErr w:type="spellStart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Basyal</w:t>
      </w:r>
      <w:proofErr w:type="spellEnd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 xml:space="preserve">, B., </w:t>
      </w:r>
      <w:proofErr w:type="spellStart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Kaucha</w:t>
      </w:r>
      <w:proofErr w:type="spellEnd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 xml:space="preserve">, K., &amp; Adhikari, S. (2017). Assessment of insulin injection practice among diabetes patients in a tertiary healthcare </w:t>
      </w:r>
      <w:proofErr w:type="spellStart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centre</w:t>
      </w:r>
      <w:proofErr w:type="spellEnd"/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 xml:space="preserve"> in Nepal: a preliminary study. </w:t>
      </w:r>
      <w:r w:rsidRPr="008E494F">
        <w:rPr>
          <w:rFonts w:cs="Times New Roman"/>
          <w:i/>
          <w:iCs/>
          <w:color w:val="222222"/>
          <w:sz w:val="16"/>
          <w:szCs w:val="16"/>
          <w:shd w:val="clear" w:color="auto" w:fill="FFFFFF"/>
        </w:rPr>
        <w:t>Journal of diabetes research</w:t>
      </w:r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, </w:t>
      </w:r>
      <w:r w:rsidRPr="008E494F">
        <w:rPr>
          <w:rFonts w:cs="Times New Roman"/>
          <w:i/>
          <w:iCs/>
          <w:color w:val="222222"/>
          <w:sz w:val="16"/>
          <w:szCs w:val="16"/>
          <w:shd w:val="clear" w:color="auto" w:fill="FFFFFF"/>
        </w:rPr>
        <w:t>2017</w:t>
      </w:r>
      <w:r w:rsidRPr="008E494F">
        <w:rPr>
          <w:rFonts w:cs="Times New Roman"/>
          <w:color w:val="222222"/>
          <w:sz w:val="16"/>
          <w:szCs w:val="16"/>
          <w:shd w:val="clear" w:color="auto" w:fill="FFFFFF"/>
        </w:rPr>
        <w:t>.</w:t>
      </w:r>
    </w:p>
    <w:p w14:paraId="09B13AFB" w14:textId="77777777" w:rsidR="008E494F" w:rsidRPr="008E494F" w:rsidRDefault="008E494F" w:rsidP="008E494F">
      <w:pPr>
        <w:ind w:left="360"/>
        <w:jc w:val="center"/>
        <w:rPr>
          <w:rFonts w:cs="Times New Roman"/>
          <w:sz w:val="18"/>
          <w:szCs w:val="18"/>
        </w:rPr>
      </w:pPr>
    </w:p>
    <w:p w14:paraId="2258037A" w14:textId="346EFACA" w:rsidR="004A3BF0" w:rsidRDefault="004A3BF0" w:rsidP="00DC54C1">
      <w:pPr>
        <w:ind w:left="360"/>
        <w:jc w:val="center"/>
        <w:rPr>
          <w:sz w:val="18"/>
          <w:szCs w:val="18"/>
        </w:rPr>
      </w:pPr>
    </w:p>
    <w:p w14:paraId="2097EC6E" w14:textId="7F55F1A7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1F248EA1" w14:textId="58806CCF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51DB357D" w14:textId="619FD2A7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4B612D21" w14:textId="6A0D2A5F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161F611F" w14:textId="4CDD973C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6BFFC2BE" w14:textId="4DDEED15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7C3A146B" w14:textId="5B2E4C3F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1A300500" w14:textId="3F3C8AFF" w:rsidR="002C7863" w:rsidRDefault="002C7863" w:rsidP="00DC54C1">
      <w:pPr>
        <w:ind w:left="360"/>
        <w:jc w:val="center"/>
        <w:rPr>
          <w:sz w:val="18"/>
          <w:szCs w:val="18"/>
        </w:rPr>
      </w:pPr>
    </w:p>
    <w:p w14:paraId="10AD22BE" w14:textId="0EFB0FC8" w:rsidR="002C7863" w:rsidRPr="002C7863" w:rsidRDefault="002C7863" w:rsidP="00DC54C1">
      <w:pPr>
        <w:ind w:left="360"/>
        <w:jc w:val="center"/>
        <w:rPr>
          <w:rFonts w:ascii="Brush Script MT" w:hAnsi="Brush Script MT"/>
          <w:sz w:val="18"/>
          <w:szCs w:val="18"/>
        </w:rPr>
      </w:pPr>
      <w:r w:rsidRPr="002C7863">
        <w:rPr>
          <w:rFonts w:ascii="Brush Script MT" w:hAnsi="Brush Script MT"/>
          <w:sz w:val="18"/>
          <w:szCs w:val="18"/>
        </w:rPr>
        <w:t>Fighting diabetes can save lives.</w:t>
      </w:r>
    </w:p>
    <w:p w14:paraId="76CF522D" w14:textId="77777777" w:rsidR="000F3FBA" w:rsidRPr="000F3FBA" w:rsidRDefault="000F3FBA" w:rsidP="00DC54C1">
      <w:pPr>
        <w:ind w:left="360"/>
        <w:jc w:val="center"/>
        <w:rPr>
          <w:rFonts w:ascii="Algerian" w:hAnsi="Algerian"/>
          <w:b/>
          <w:bCs/>
          <w:i/>
          <w:iCs/>
          <w:sz w:val="18"/>
          <w:szCs w:val="18"/>
        </w:rPr>
      </w:pPr>
      <w:r w:rsidRPr="000F3FBA">
        <w:rPr>
          <w:rFonts w:ascii="Algerian" w:hAnsi="Algerian"/>
          <w:b/>
          <w:bCs/>
          <w:i/>
          <w:iCs/>
          <w:sz w:val="18"/>
          <w:szCs w:val="18"/>
        </w:rPr>
        <w:t>THANK YOU</w:t>
      </w:r>
    </w:p>
    <w:p w14:paraId="6158639F" w14:textId="77777777" w:rsidR="002C7863" w:rsidRPr="00FB7AE9" w:rsidRDefault="002C7863" w:rsidP="00DC54C1">
      <w:pPr>
        <w:ind w:left="360"/>
        <w:jc w:val="center"/>
        <w:rPr>
          <w:sz w:val="18"/>
          <w:szCs w:val="18"/>
        </w:rPr>
      </w:pPr>
    </w:p>
    <w:sectPr w:rsidR="002C7863" w:rsidRPr="00FB7AE9" w:rsidSect="005371DE">
      <w:pgSz w:w="16838" w:h="11906" w:orient="landscape" w:code="9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033C"/>
    <w:multiLevelType w:val="hybridMultilevel"/>
    <w:tmpl w:val="8F646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E41DD0"/>
    <w:multiLevelType w:val="hybridMultilevel"/>
    <w:tmpl w:val="C5EEB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E"/>
    <w:rsid w:val="00066A76"/>
    <w:rsid w:val="000C6AD6"/>
    <w:rsid w:val="000F3FBA"/>
    <w:rsid w:val="001E00CE"/>
    <w:rsid w:val="002B4882"/>
    <w:rsid w:val="002C7863"/>
    <w:rsid w:val="002D1944"/>
    <w:rsid w:val="0030273F"/>
    <w:rsid w:val="00431756"/>
    <w:rsid w:val="00481D79"/>
    <w:rsid w:val="004A3BF0"/>
    <w:rsid w:val="005371DE"/>
    <w:rsid w:val="0055111D"/>
    <w:rsid w:val="00607FF1"/>
    <w:rsid w:val="008E494F"/>
    <w:rsid w:val="00AA451C"/>
    <w:rsid w:val="00B40D10"/>
    <w:rsid w:val="00C63CBC"/>
    <w:rsid w:val="00CE416B"/>
    <w:rsid w:val="00D5138B"/>
    <w:rsid w:val="00D551FA"/>
    <w:rsid w:val="00DC54C1"/>
    <w:rsid w:val="00E663FE"/>
    <w:rsid w:val="00EC3CEA"/>
    <w:rsid w:val="00F304DA"/>
    <w:rsid w:val="00FB7AE9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31C1"/>
  <w15:chartTrackingRefBased/>
  <w15:docId w15:val="{5BE48522-C750-4C95-9E36-3608C042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F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1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2134-AD97-4023-9CB0-E180A640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2021-04-01T20:02:00Z</dcterms:created>
  <dcterms:modified xsi:type="dcterms:W3CDTF">2021-04-06T08:21:00Z</dcterms:modified>
</cp:coreProperties>
</file>